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2E955" w14:textId="5563310D" w:rsidR="008C41B4" w:rsidRPr="00BC6875" w:rsidRDefault="002C6E60" w:rsidP="00524487">
      <w:pPr>
        <w:jc w:val="center"/>
        <w:rPr>
          <w:b/>
          <w:sz w:val="36"/>
          <w:szCs w:val="36"/>
        </w:rPr>
      </w:pPr>
      <w:bookmarkStart w:id="0" w:name="_GoBack"/>
      <w:bookmarkEnd w:id="0"/>
      <w:r>
        <w:rPr>
          <w:b/>
          <w:sz w:val="36"/>
          <w:szCs w:val="36"/>
        </w:rPr>
        <w:t xml:space="preserve">VAT and </w:t>
      </w:r>
      <w:r w:rsidR="00524487">
        <w:rPr>
          <w:b/>
          <w:sz w:val="36"/>
          <w:szCs w:val="36"/>
        </w:rPr>
        <w:t>CSF-III Grant Beneficiaries</w:t>
      </w:r>
    </w:p>
    <w:p w14:paraId="22303C65" w14:textId="005E2789" w:rsidR="00E64D97" w:rsidRPr="00252CEF" w:rsidRDefault="00E64D97">
      <w:pPr>
        <w:rPr>
          <w:b/>
          <w:sz w:val="28"/>
          <w:szCs w:val="28"/>
        </w:rPr>
      </w:pPr>
      <w:r w:rsidRPr="00252CEF">
        <w:rPr>
          <w:b/>
          <w:sz w:val="28"/>
          <w:szCs w:val="28"/>
        </w:rPr>
        <w:t>Relevant General Conditions</w:t>
      </w:r>
    </w:p>
    <w:p w14:paraId="345A0A6E" w14:textId="77777777" w:rsidR="002C6E60" w:rsidRDefault="00E64D97" w:rsidP="002C6E60">
      <w:pPr>
        <w:jc w:val="both"/>
        <w:rPr>
          <w:b/>
        </w:rPr>
      </w:pPr>
      <w:r w:rsidRPr="00E64D97">
        <w:rPr>
          <w:b/>
        </w:rPr>
        <w:t>Article 14</w:t>
      </w:r>
      <w:r>
        <w:rPr>
          <w:b/>
        </w:rPr>
        <w:t xml:space="preserve"> </w:t>
      </w:r>
      <w:r w:rsidR="00827CFD">
        <w:rPr>
          <w:b/>
        </w:rPr>
        <w:t>–</w:t>
      </w:r>
      <w:r>
        <w:rPr>
          <w:b/>
        </w:rPr>
        <w:t xml:space="preserve"> </w:t>
      </w:r>
      <w:r w:rsidR="00827CFD">
        <w:rPr>
          <w:b/>
        </w:rPr>
        <w:t>Eligible Costs</w:t>
      </w:r>
      <w:r w:rsidR="002C6E60">
        <w:rPr>
          <w:b/>
        </w:rPr>
        <w:t xml:space="preserve"> </w:t>
      </w:r>
    </w:p>
    <w:p w14:paraId="7EBE2004" w14:textId="3173E66E" w:rsidR="002C6E60" w:rsidRDefault="002C6E60" w:rsidP="002C6E60">
      <w:pPr>
        <w:pStyle w:val="ListParagraph"/>
        <w:numPr>
          <w:ilvl w:val="0"/>
          <w:numId w:val="3"/>
        </w:numPr>
        <w:jc w:val="both"/>
        <w:rPr>
          <w:b/>
        </w:rPr>
      </w:pPr>
      <w:r>
        <w:rPr>
          <w:b/>
        </w:rPr>
        <w:t xml:space="preserve">Article </w:t>
      </w:r>
      <w:r w:rsidRPr="002C6E60">
        <w:rPr>
          <w:b/>
        </w:rPr>
        <w:t>14.2(</w:t>
      </w:r>
      <w:proofErr w:type="spellStart"/>
      <w:r w:rsidRPr="002C6E60">
        <w:rPr>
          <w:b/>
        </w:rPr>
        <w:t>i</w:t>
      </w:r>
      <w:proofErr w:type="spellEnd"/>
      <w:r w:rsidRPr="002C6E60">
        <w:rPr>
          <w:b/>
        </w:rPr>
        <w:t>)</w:t>
      </w:r>
      <w:r>
        <w:rPr>
          <w:b/>
        </w:rPr>
        <w:t xml:space="preserve"> – Duties, taxes &amp; charges, including VAT, that are paid and are </w:t>
      </w:r>
      <w:r w:rsidRPr="00D94A93">
        <w:rPr>
          <w:b/>
          <w:u w:val="single"/>
        </w:rPr>
        <w:t>not</w:t>
      </w:r>
      <w:r>
        <w:rPr>
          <w:b/>
        </w:rPr>
        <w:t xml:space="preserve"> recoverable by beneficiaries are eligible for EU funding</w:t>
      </w:r>
    </w:p>
    <w:p w14:paraId="465BD1BE" w14:textId="24DDF80F" w:rsidR="00D94A93" w:rsidRPr="002C6E60" w:rsidRDefault="00D94A93" w:rsidP="002C6E60">
      <w:pPr>
        <w:pStyle w:val="ListParagraph"/>
        <w:numPr>
          <w:ilvl w:val="0"/>
          <w:numId w:val="3"/>
        </w:numPr>
        <w:jc w:val="both"/>
        <w:rPr>
          <w:b/>
        </w:rPr>
      </w:pPr>
      <w:proofErr w:type="spellStart"/>
      <w:r>
        <w:rPr>
          <w:b/>
        </w:rPr>
        <w:t>ie</w:t>
      </w:r>
      <w:proofErr w:type="spellEnd"/>
      <w:r>
        <w:rPr>
          <w:b/>
        </w:rPr>
        <w:t>. If the</w:t>
      </w:r>
      <w:r w:rsidR="00583447">
        <w:rPr>
          <w:b/>
        </w:rPr>
        <w:t>y</w:t>
      </w:r>
      <w:r>
        <w:rPr>
          <w:b/>
        </w:rPr>
        <w:t xml:space="preserve"> can be </w:t>
      </w:r>
      <w:r w:rsidR="003917CD">
        <w:rPr>
          <w:b/>
        </w:rPr>
        <w:t>recovered,</w:t>
      </w:r>
      <w:r>
        <w:rPr>
          <w:b/>
        </w:rPr>
        <w:t xml:space="preserve"> they will not be considered eligible for EU funding</w:t>
      </w:r>
    </w:p>
    <w:p w14:paraId="70029FF6" w14:textId="276C4375" w:rsidR="00252CEF" w:rsidRPr="00252CEF" w:rsidRDefault="008D3562" w:rsidP="003229E8">
      <w:pPr>
        <w:jc w:val="both"/>
        <w:rPr>
          <w:b/>
          <w:sz w:val="28"/>
          <w:szCs w:val="28"/>
        </w:rPr>
      </w:pPr>
      <w:r w:rsidRPr="00252CEF">
        <w:rPr>
          <w:b/>
          <w:sz w:val="28"/>
          <w:szCs w:val="28"/>
        </w:rPr>
        <w:t xml:space="preserve">Annex </w:t>
      </w:r>
      <w:r w:rsidR="00D94A93">
        <w:rPr>
          <w:b/>
          <w:sz w:val="28"/>
          <w:szCs w:val="28"/>
        </w:rPr>
        <w:t>X</w:t>
      </w:r>
      <w:r w:rsidRPr="00252CEF">
        <w:rPr>
          <w:b/>
          <w:sz w:val="28"/>
          <w:szCs w:val="28"/>
        </w:rPr>
        <w:t xml:space="preserve"> </w:t>
      </w:r>
      <w:r w:rsidR="00D94A93">
        <w:rPr>
          <w:b/>
          <w:sz w:val="28"/>
          <w:szCs w:val="28"/>
        </w:rPr>
        <w:t xml:space="preserve">(Annex J) </w:t>
      </w:r>
      <w:r w:rsidR="00252CEF">
        <w:rPr>
          <w:b/>
          <w:sz w:val="28"/>
          <w:szCs w:val="28"/>
        </w:rPr>
        <w:t>of Contract</w:t>
      </w:r>
    </w:p>
    <w:p w14:paraId="0EBDDF52" w14:textId="77777777" w:rsidR="00D94A93" w:rsidRPr="00D94A93" w:rsidRDefault="00D94A93" w:rsidP="003229E8">
      <w:pPr>
        <w:jc w:val="both"/>
        <w:rPr>
          <w:b/>
        </w:rPr>
      </w:pPr>
      <w:r w:rsidRPr="00D94A93">
        <w:rPr>
          <w:b/>
        </w:rPr>
        <w:t>Information on the Tax regime Applicable to Grant Contracts signed under EuropeAid/163926/</w:t>
      </w:r>
    </w:p>
    <w:p w14:paraId="138FFBE8" w14:textId="77777777" w:rsidR="00D94A93" w:rsidRDefault="00D94A93" w:rsidP="003229E8">
      <w:pPr>
        <w:pStyle w:val="ListParagraph"/>
        <w:numPr>
          <w:ilvl w:val="0"/>
          <w:numId w:val="6"/>
        </w:numPr>
        <w:jc w:val="both"/>
      </w:pPr>
      <w:r>
        <w:t xml:space="preserve">Reiterates that taxes, including VAT, are eligible, </w:t>
      </w:r>
      <w:r w:rsidRPr="00D94A93">
        <w:rPr>
          <w:b/>
          <w:bCs/>
        </w:rPr>
        <w:t>provided the beneficiaries can show they cannot claim them</w:t>
      </w:r>
    </w:p>
    <w:p w14:paraId="027FF7D3" w14:textId="35D8F6DC" w:rsidR="00CB0846" w:rsidRPr="00C51DD8" w:rsidRDefault="00B50DB1" w:rsidP="003229E8">
      <w:pPr>
        <w:pStyle w:val="ListParagraph"/>
        <w:numPr>
          <w:ilvl w:val="0"/>
          <w:numId w:val="6"/>
        </w:numPr>
        <w:jc w:val="both"/>
      </w:pPr>
      <w:r>
        <w:t xml:space="preserve">In Ethiopia, the Ministry of Finance allows CSOs benefitting from CSF grants to reclaim VAT that has been paid in relation to goods and services </w:t>
      </w:r>
      <w:r w:rsidRPr="00C51DD8">
        <w:t xml:space="preserve">procured for </w:t>
      </w:r>
      <w:r w:rsidR="00D37B3B" w:rsidRPr="00C51DD8">
        <w:t>the implementation of the</w:t>
      </w:r>
      <w:r w:rsidR="008C431A" w:rsidRPr="00C51DD8">
        <w:t xml:space="preserve"> grant</w:t>
      </w:r>
    </w:p>
    <w:p w14:paraId="5532A2D1" w14:textId="26357982" w:rsidR="00583447" w:rsidRPr="00C51DD8" w:rsidRDefault="00583447" w:rsidP="003229E8">
      <w:pPr>
        <w:pStyle w:val="ListParagraph"/>
        <w:numPr>
          <w:ilvl w:val="0"/>
          <w:numId w:val="6"/>
        </w:numPr>
        <w:jc w:val="both"/>
      </w:pPr>
      <w:r>
        <w:t>Thus, grantees are obliged to undertake the necessary steps to recover paid VAT</w:t>
      </w:r>
      <w:r w:rsidR="008C431A">
        <w:t xml:space="preserve"> </w:t>
      </w:r>
      <w:r w:rsidR="008C431A" w:rsidRPr="00C51DD8">
        <w:t xml:space="preserve">from </w:t>
      </w:r>
      <w:r w:rsidR="00C51DD8">
        <w:t xml:space="preserve">the </w:t>
      </w:r>
      <w:r w:rsidR="008C431A" w:rsidRPr="00C51DD8">
        <w:t>Ministry of Revenue</w:t>
      </w:r>
    </w:p>
    <w:p w14:paraId="1F64BF49" w14:textId="1F3DD0F6" w:rsidR="008D3562" w:rsidRDefault="00583447" w:rsidP="003229E8">
      <w:pPr>
        <w:jc w:val="both"/>
        <w:rPr>
          <w:b/>
          <w:bCs/>
          <w:sz w:val="28"/>
          <w:szCs w:val="28"/>
        </w:rPr>
      </w:pPr>
      <w:r>
        <w:rPr>
          <w:b/>
          <w:bCs/>
          <w:sz w:val="28"/>
          <w:szCs w:val="28"/>
        </w:rPr>
        <w:t>VAT Recovery Procedures</w:t>
      </w:r>
    </w:p>
    <w:p w14:paraId="2F3855BC" w14:textId="0B17C996" w:rsidR="00583447" w:rsidRDefault="00583447" w:rsidP="003229E8">
      <w:pPr>
        <w:jc w:val="both"/>
        <w:rPr>
          <w:b/>
          <w:bCs/>
        </w:rPr>
      </w:pPr>
      <w:r w:rsidRPr="00583447">
        <w:rPr>
          <w:b/>
          <w:bCs/>
        </w:rPr>
        <w:t xml:space="preserve">Grantees are </w:t>
      </w:r>
      <w:r>
        <w:rPr>
          <w:b/>
          <w:bCs/>
        </w:rPr>
        <w:t xml:space="preserve">advised to familiarise themselves with the </w:t>
      </w:r>
      <w:r w:rsidR="00AC22FA">
        <w:rPr>
          <w:b/>
          <w:bCs/>
        </w:rPr>
        <w:t xml:space="preserve">full </w:t>
      </w:r>
      <w:r>
        <w:rPr>
          <w:b/>
          <w:bCs/>
        </w:rPr>
        <w:t>details</w:t>
      </w:r>
      <w:r w:rsidR="00AC22FA">
        <w:rPr>
          <w:b/>
          <w:bCs/>
        </w:rPr>
        <w:t xml:space="preserve"> of the </w:t>
      </w:r>
      <w:r w:rsidR="00AC22FA" w:rsidRPr="00C51DD8">
        <w:rPr>
          <w:b/>
          <w:bCs/>
        </w:rPr>
        <w:t xml:space="preserve">Ministry of </w:t>
      </w:r>
      <w:r w:rsidR="00D37B3B" w:rsidRPr="00C51DD8">
        <w:rPr>
          <w:b/>
          <w:bCs/>
        </w:rPr>
        <w:t>Revenue</w:t>
      </w:r>
      <w:r w:rsidR="00C51DD8" w:rsidRPr="00C51DD8">
        <w:rPr>
          <w:b/>
          <w:bCs/>
        </w:rPr>
        <w:t>’s</w:t>
      </w:r>
      <w:r w:rsidR="00D37B3B" w:rsidRPr="00C51DD8">
        <w:rPr>
          <w:b/>
          <w:bCs/>
        </w:rPr>
        <w:t xml:space="preserve"> </w:t>
      </w:r>
      <w:r w:rsidR="00AC22FA">
        <w:rPr>
          <w:b/>
          <w:bCs/>
        </w:rPr>
        <w:t>procedures for the recovery of VAT</w:t>
      </w:r>
    </w:p>
    <w:p w14:paraId="7E995339" w14:textId="722AF2A2" w:rsidR="00AC22FA" w:rsidRPr="00583447" w:rsidRDefault="00AC22FA" w:rsidP="003229E8">
      <w:pPr>
        <w:jc w:val="both"/>
        <w:rPr>
          <w:b/>
          <w:bCs/>
        </w:rPr>
      </w:pPr>
      <w:r>
        <w:rPr>
          <w:b/>
          <w:bCs/>
        </w:rPr>
        <w:t>System applied under CSF-II</w:t>
      </w:r>
    </w:p>
    <w:p w14:paraId="589B2AE8" w14:textId="2475B671" w:rsidR="00AC22FA" w:rsidRDefault="00AC22FA" w:rsidP="003229E8">
      <w:pPr>
        <w:pStyle w:val="ListParagraph"/>
        <w:numPr>
          <w:ilvl w:val="0"/>
          <w:numId w:val="7"/>
        </w:numPr>
        <w:jc w:val="both"/>
      </w:pPr>
      <w:r>
        <w:t>Summarise all VAT payments (equal to or greater than ETB 100</w:t>
      </w:r>
      <w:r w:rsidR="003917CD">
        <w:t xml:space="preserve"> per single payment</w:t>
      </w:r>
      <w:r>
        <w:t>) using standard template</w:t>
      </w:r>
      <w:r w:rsidR="00576875">
        <w:t xml:space="preserve"> (attached)</w:t>
      </w:r>
    </w:p>
    <w:p w14:paraId="4E8C7781" w14:textId="1C7450DF" w:rsidR="00D66FC7" w:rsidRPr="00C51DD8" w:rsidRDefault="00AC22FA" w:rsidP="00D66FC7">
      <w:pPr>
        <w:pStyle w:val="ListParagraph"/>
        <w:numPr>
          <w:ilvl w:val="0"/>
          <w:numId w:val="7"/>
        </w:numPr>
        <w:jc w:val="both"/>
      </w:pPr>
      <w:r>
        <w:t>Attach supporting documentation -</w:t>
      </w:r>
      <w:proofErr w:type="spellStart"/>
      <w:r>
        <w:t>ie</w:t>
      </w:r>
      <w:proofErr w:type="spellEnd"/>
      <w:r>
        <w:t>. Tax Invoices</w:t>
      </w:r>
      <w:r w:rsidR="00F746F2">
        <w:t xml:space="preserve"> or VAT receipts for the procurement of goods and services for official use under the contract from suppliers registered for VAT, to prove that VAT has been paid on the transaction in question</w:t>
      </w:r>
      <w:r w:rsidR="00D66FC7">
        <w:t xml:space="preserve">. </w:t>
      </w:r>
      <w:r w:rsidR="00D66FC7" w:rsidRPr="00C51DD8">
        <w:t xml:space="preserve">The invoice should indicate the name </w:t>
      </w:r>
      <w:r w:rsidR="00C51DD8" w:rsidRPr="00C51DD8">
        <w:t xml:space="preserve">and Tax Identification Number of </w:t>
      </w:r>
      <w:r w:rsidR="00D66FC7" w:rsidRPr="00C51DD8">
        <w:t xml:space="preserve">your organization </w:t>
      </w:r>
      <w:r w:rsidR="00D37B3B" w:rsidRPr="00C51DD8">
        <w:t xml:space="preserve">and </w:t>
      </w:r>
      <w:r w:rsidR="00C51DD8" w:rsidRPr="00C51DD8">
        <w:t xml:space="preserve">of </w:t>
      </w:r>
      <w:r w:rsidR="00D37B3B" w:rsidRPr="00C51DD8">
        <w:t>the supplier</w:t>
      </w:r>
      <w:r w:rsidR="00C51DD8">
        <w:t>.</w:t>
      </w:r>
    </w:p>
    <w:p w14:paraId="62C12EA7" w14:textId="41A0A07E" w:rsidR="00F746F2" w:rsidRPr="00C51DD8" w:rsidRDefault="00F746F2" w:rsidP="003229E8">
      <w:pPr>
        <w:pStyle w:val="ListParagraph"/>
        <w:numPr>
          <w:ilvl w:val="0"/>
          <w:numId w:val="7"/>
        </w:numPr>
        <w:jc w:val="both"/>
      </w:pPr>
      <w:r>
        <w:t>Instruct Auditor to carryout a verification of the transactions during the year for which the claim is being made</w:t>
      </w:r>
      <w:r w:rsidR="00D37B3B">
        <w:t xml:space="preserve">. </w:t>
      </w:r>
      <w:r w:rsidR="00D37B3B" w:rsidRPr="00C51DD8">
        <w:t>Please note that VAT payment</w:t>
      </w:r>
      <w:r w:rsidR="00C51DD8" w:rsidRPr="00C51DD8">
        <w:t>s</w:t>
      </w:r>
      <w:r w:rsidR="00D37B3B" w:rsidRPr="00C51DD8">
        <w:t xml:space="preserve"> not reimbursed within </w:t>
      </w:r>
      <w:r w:rsidR="00C51DD8" w:rsidRPr="00C51DD8">
        <w:t xml:space="preserve">a </w:t>
      </w:r>
      <w:r w:rsidR="00D37B3B" w:rsidRPr="00C51DD8">
        <w:t xml:space="preserve">one year period will not be eligible for refund and </w:t>
      </w:r>
      <w:r w:rsidR="00C51DD8" w:rsidRPr="00C51DD8">
        <w:t xml:space="preserve">will not be </w:t>
      </w:r>
      <w:r w:rsidR="00D37B3B" w:rsidRPr="00C51DD8">
        <w:t xml:space="preserve">considered as </w:t>
      </w:r>
      <w:r w:rsidR="00C51DD8" w:rsidRPr="00C51DD8">
        <w:t xml:space="preserve">an </w:t>
      </w:r>
      <w:r w:rsidR="00D37B3B" w:rsidRPr="00C51DD8">
        <w:t>ineligible cost of the project</w:t>
      </w:r>
      <w:r w:rsidR="00C51DD8">
        <w:t>.</w:t>
      </w:r>
    </w:p>
    <w:p w14:paraId="451E52F0" w14:textId="3E848A5F" w:rsidR="001A6C6A" w:rsidRDefault="00F746F2" w:rsidP="00B076D8">
      <w:pPr>
        <w:pStyle w:val="ListParagraph"/>
        <w:numPr>
          <w:ilvl w:val="0"/>
          <w:numId w:val="7"/>
        </w:numPr>
        <w:jc w:val="both"/>
      </w:pPr>
      <w:r>
        <w:t xml:space="preserve">Submit the VAT claim, transaction </w:t>
      </w:r>
      <w:r w:rsidR="00D66FC7" w:rsidRPr="00C51DD8">
        <w:t xml:space="preserve">audit </w:t>
      </w:r>
      <w:r>
        <w:t xml:space="preserve">report and original supporting documents to the TAU for </w:t>
      </w:r>
      <w:r w:rsidR="00B076D8">
        <w:t xml:space="preserve">initial </w:t>
      </w:r>
      <w:r>
        <w:t>checking and onward transmission</w:t>
      </w:r>
      <w:r w:rsidR="00B076D8">
        <w:t>.</w:t>
      </w:r>
    </w:p>
    <w:p w14:paraId="02B0B8F5" w14:textId="7DFE5FAA" w:rsidR="00D66FC7" w:rsidRPr="00C51DD8" w:rsidRDefault="00D66FC7" w:rsidP="00B076D8">
      <w:pPr>
        <w:pStyle w:val="ListParagraph"/>
        <w:numPr>
          <w:ilvl w:val="0"/>
          <w:numId w:val="7"/>
        </w:numPr>
        <w:jc w:val="both"/>
      </w:pPr>
      <w:r w:rsidRPr="00C51DD8">
        <w:t xml:space="preserve">Collect the VAT endorsement letter, your original supporting documents and transaction audit report from the Delegation to submit to </w:t>
      </w:r>
      <w:r w:rsidR="00C51DD8" w:rsidRPr="00C51DD8">
        <w:t xml:space="preserve">the </w:t>
      </w:r>
      <w:r w:rsidRPr="00C51DD8">
        <w:t>Ministry of revenue</w:t>
      </w:r>
      <w:r w:rsidR="00C51DD8" w:rsidRPr="00C51DD8">
        <w:t>.</w:t>
      </w:r>
      <w:r w:rsidRPr="00C51DD8">
        <w:t xml:space="preserve"> </w:t>
      </w:r>
    </w:p>
    <w:sectPr w:rsidR="00D66FC7" w:rsidRPr="00C51DD8" w:rsidSect="00941EA8">
      <w:headerReference w:type="default" r:id="rId7"/>
      <w:footerReference w:type="default" r:id="rId8"/>
      <w:pgSz w:w="11906" w:h="16838"/>
      <w:pgMar w:top="1440" w:right="1440" w:bottom="1440" w:left="1440" w:header="708"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20EDB" w14:textId="77777777" w:rsidR="007A58A9" w:rsidRDefault="007A58A9" w:rsidP="00941EA8">
      <w:pPr>
        <w:spacing w:after="0" w:line="240" w:lineRule="auto"/>
      </w:pPr>
      <w:r>
        <w:separator/>
      </w:r>
    </w:p>
  </w:endnote>
  <w:endnote w:type="continuationSeparator" w:id="0">
    <w:p w14:paraId="7766509C" w14:textId="77777777" w:rsidR="007A58A9" w:rsidRDefault="007A58A9" w:rsidP="00941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E61AA" w14:textId="77777777" w:rsidR="00941EA8" w:rsidRDefault="00941EA8" w:rsidP="00941EA8">
    <w:pPr>
      <w:pStyle w:val="Footer"/>
    </w:pPr>
    <w:r>
      <w:rPr>
        <w:noProof/>
      </w:rPr>
      <mc:AlternateContent>
        <mc:Choice Requires="wps">
          <w:drawing>
            <wp:anchor distT="0" distB="0" distL="114300" distR="114300" simplePos="0" relativeHeight="251661312" behindDoc="0" locked="0" layoutInCell="1" allowOverlap="1" wp14:anchorId="1F576BB3" wp14:editId="77CB7FF3">
              <wp:simplePos x="0" y="0"/>
              <wp:positionH relativeFrom="column">
                <wp:posOffset>-882650</wp:posOffset>
              </wp:positionH>
              <wp:positionV relativeFrom="paragraph">
                <wp:posOffset>168910</wp:posOffset>
              </wp:positionV>
              <wp:extent cx="75247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5247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364A8A"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9.5pt,13.3pt" to="52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" strokecolor="black [3213]"/>
          </w:pict>
        </mc:Fallback>
      </mc:AlternateContent>
    </w:r>
    <w:r>
      <w:ptab w:relativeTo="margin" w:alignment="center" w:leader="none"/>
    </w:r>
    <w:r w:rsidRPr="00403972">
      <w:rPr>
        <w:b/>
        <w:color w:val="4F81BD" w:themeColor="accent1"/>
      </w:rPr>
      <w:t>A Programme Funded by the European Union</w:t>
    </w:r>
    <w:r>
      <w:ptab w:relativeTo="margin" w:alignment="right" w:leader="none"/>
    </w:r>
  </w:p>
  <w:p w14:paraId="29259FE2" w14:textId="77777777" w:rsidR="00941EA8" w:rsidRDefault="00941EA8" w:rsidP="00941EA8">
    <w:pPr>
      <w:pStyle w:val="Footer"/>
      <w:jc w:val="center"/>
    </w:pPr>
    <w:r>
      <w:t xml:space="preserve">NOAH Centurium Building (near Atlas Hotel, accessed just before Cyan City Hotel), </w:t>
    </w:r>
  </w:p>
  <w:p w14:paraId="237374E0" w14:textId="77777777" w:rsidR="00941EA8" w:rsidRDefault="00941EA8" w:rsidP="00941EA8">
    <w:pPr>
      <w:pStyle w:val="Footer"/>
      <w:jc w:val="center"/>
    </w:pPr>
    <w:r>
      <w:t>Mickey Leyland Street, Bole Sub-City, Addis Ababa – Ethiopia</w:t>
    </w:r>
  </w:p>
  <w:p w14:paraId="30BF4742" w14:textId="77777777" w:rsidR="00941EA8" w:rsidRDefault="00941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FFDB7" w14:textId="77777777" w:rsidR="007A58A9" w:rsidRDefault="007A58A9" w:rsidP="00941EA8">
      <w:pPr>
        <w:spacing w:after="0" w:line="240" w:lineRule="auto"/>
      </w:pPr>
      <w:r>
        <w:separator/>
      </w:r>
    </w:p>
  </w:footnote>
  <w:footnote w:type="continuationSeparator" w:id="0">
    <w:p w14:paraId="163DDEA1" w14:textId="77777777" w:rsidR="007A58A9" w:rsidRDefault="007A58A9" w:rsidP="00941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6D373" w14:textId="1743127F" w:rsidR="00941EA8" w:rsidRDefault="00941EA8">
    <w:pPr>
      <w:pStyle w:val="Header"/>
    </w:pPr>
    <w:r>
      <w:rPr>
        <w:noProof/>
      </w:rPr>
      <w:drawing>
        <wp:anchor distT="0" distB="0" distL="114300" distR="114300" simplePos="0" relativeHeight="251659264" behindDoc="1" locked="0" layoutInCell="1" allowOverlap="1" wp14:anchorId="032941A5" wp14:editId="45972268">
          <wp:simplePos x="0" y="0"/>
          <wp:positionH relativeFrom="column">
            <wp:posOffset>-804057</wp:posOffset>
          </wp:positionH>
          <wp:positionV relativeFrom="paragraph">
            <wp:posOffset>-375920</wp:posOffset>
          </wp:positionV>
          <wp:extent cx="7344410" cy="1327150"/>
          <wp:effectExtent l="0" t="0" r="8890" b="6350"/>
          <wp:wrapTight wrapText="bothSides">
            <wp:wrapPolygon edited="0">
              <wp:start x="0" y="0"/>
              <wp:lineTo x="0" y="21393"/>
              <wp:lineTo x="21570" y="21393"/>
              <wp:lineTo x="215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44410" cy="1327150"/>
                  </a:xfrm>
                  <a:prstGeom prst="rect">
                    <a:avLst/>
                  </a:prstGeom>
                </pic:spPr>
              </pic:pic>
            </a:graphicData>
          </a:graphic>
          <wp14:sizeRelH relativeFrom="page">
            <wp14:pctWidth>0</wp14:pctWidth>
          </wp14:sizeRelH>
          <wp14:sizeRelV relativeFrom="page">
            <wp14:pctHeight>0</wp14:pctHeight>
          </wp14:sizeRelV>
        </wp:anchor>
      </w:drawing>
    </w:r>
  </w:p>
  <w:p w14:paraId="3EBCA09D" w14:textId="77777777" w:rsidR="00941EA8" w:rsidRDefault="00941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1914"/>
    <w:multiLevelType w:val="hybridMultilevel"/>
    <w:tmpl w:val="7194C16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C66E2B"/>
    <w:multiLevelType w:val="hybridMultilevel"/>
    <w:tmpl w:val="64CC6E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C731D"/>
    <w:multiLevelType w:val="hybridMultilevel"/>
    <w:tmpl w:val="C24443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74884"/>
    <w:multiLevelType w:val="hybridMultilevel"/>
    <w:tmpl w:val="68D8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302F43"/>
    <w:multiLevelType w:val="hybridMultilevel"/>
    <w:tmpl w:val="300ED0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DA17A1"/>
    <w:multiLevelType w:val="hybridMultilevel"/>
    <w:tmpl w:val="56427F60"/>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6E243866"/>
    <w:multiLevelType w:val="hybridMultilevel"/>
    <w:tmpl w:val="F230B2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574FB0"/>
    <w:multiLevelType w:val="hybridMultilevel"/>
    <w:tmpl w:val="9FD899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3562"/>
    <w:rsid w:val="00006790"/>
    <w:rsid w:val="00117B0D"/>
    <w:rsid w:val="001745BD"/>
    <w:rsid w:val="001A208E"/>
    <w:rsid w:val="001A6C6A"/>
    <w:rsid w:val="001C2A4D"/>
    <w:rsid w:val="001C70AF"/>
    <w:rsid w:val="001F1E9A"/>
    <w:rsid w:val="001F306D"/>
    <w:rsid w:val="00252CEF"/>
    <w:rsid w:val="002C6E60"/>
    <w:rsid w:val="003045DA"/>
    <w:rsid w:val="003229E8"/>
    <w:rsid w:val="00336CDC"/>
    <w:rsid w:val="00363592"/>
    <w:rsid w:val="003917CD"/>
    <w:rsid w:val="003C0E52"/>
    <w:rsid w:val="003D60AC"/>
    <w:rsid w:val="00400C07"/>
    <w:rsid w:val="0044318E"/>
    <w:rsid w:val="00471B1A"/>
    <w:rsid w:val="004B733E"/>
    <w:rsid w:val="00524487"/>
    <w:rsid w:val="00553EAD"/>
    <w:rsid w:val="00576875"/>
    <w:rsid w:val="00583447"/>
    <w:rsid w:val="005C74A0"/>
    <w:rsid w:val="00683094"/>
    <w:rsid w:val="00737D79"/>
    <w:rsid w:val="007438D2"/>
    <w:rsid w:val="0077690D"/>
    <w:rsid w:val="007A58A9"/>
    <w:rsid w:val="00827CFD"/>
    <w:rsid w:val="00884C79"/>
    <w:rsid w:val="008C16E2"/>
    <w:rsid w:val="008C41B4"/>
    <w:rsid w:val="008C431A"/>
    <w:rsid w:val="008D3562"/>
    <w:rsid w:val="00906000"/>
    <w:rsid w:val="00906136"/>
    <w:rsid w:val="00941EA8"/>
    <w:rsid w:val="00AC22FA"/>
    <w:rsid w:val="00B076D8"/>
    <w:rsid w:val="00B50DB1"/>
    <w:rsid w:val="00B750A3"/>
    <w:rsid w:val="00BC6875"/>
    <w:rsid w:val="00BF6C7E"/>
    <w:rsid w:val="00C51DD8"/>
    <w:rsid w:val="00C543E0"/>
    <w:rsid w:val="00CB0846"/>
    <w:rsid w:val="00D37B3B"/>
    <w:rsid w:val="00D66FC7"/>
    <w:rsid w:val="00D94A93"/>
    <w:rsid w:val="00E461C1"/>
    <w:rsid w:val="00E64D97"/>
    <w:rsid w:val="00E75113"/>
    <w:rsid w:val="00E95261"/>
    <w:rsid w:val="00F404DB"/>
    <w:rsid w:val="00F534A6"/>
    <w:rsid w:val="00F74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92C21"/>
  <w15:docId w15:val="{0C3BF47B-9AE9-4135-93A4-B92FC868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562"/>
    <w:pPr>
      <w:ind w:left="720"/>
      <w:contextualSpacing/>
    </w:pPr>
  </w:style>
  <w:style w:type="table" w:styleId="TableGrid">
    <w:name w:val="Table Grid"/>
    <w:basedOn w:val="TableNormal"/>
    <w:uiPriority w:val="59"/>
    <w:rsid w:val="008D3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2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A4D"/>
    <w:rPr>
      <w:rFonts w:ascii="Tahoma" w:hAnsi="Tahoma" w:cs="Tahoma"/>
      <w:sz w:val="16"/>
      <w:szCs w:val="16"/>
    </w:rPr>
  </w:style>
  <w:style w:type="paragraph" w:styleId="Header">
    <w:name w:val="header"/>
    <w:basedOn w:val="Normal"/>
    <w:link w:val="HeaderChar"/>
    <w:uiPriority w:val="99"/>
    <w:unhideWhenUsed/>
    <w:rsid w:val="00941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EA8"/>
  </w:style>
  <w:style w:type="paragraph" w:styleId="Footer">
    <w:name w:val="footer"/>
    <w:basedOn w:val="Normal"/>
    <w:link w:val="FooterChar"/>
    <w:uiPriority w:val="99"/>
    <w:unhideWhenUsed/>
    <w:rsid w:val="00941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dc:creator>
  <cp:lastModifiedBy>Beruk Negash</cp:lastModifiedBy>
  <cp:revision>2</cp:revision>
  <cp:lastPrinted>2014-10-08T06:47:00Z</cp:lastPrinted>
  <dcterms:created xsi:type="dcterms:W3CDTF">2020-03-19T08:49:00Z</dcterms:created>
  <dcterms:modified xsi:type="dcterms:W3CDTF">2020-03-19T08:49:00Z</dcterms:modified>
</cp:coreProperties>
</file>